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645EF" w:rsidRDefault="00C645EF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r w:rsid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Junior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C645EF" w:rsidRPr="00F77A61" w:rsidRDefault="00C645EF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C645EF" w:rsidRDefault="00C645EF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C645EF" w:rsidRPr="00F77A61" w:rsidRDefault="00C645EF" w:rsidP="00C645EF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B2EFB" w:rsidRPr="00B7074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01.07.2022 (plus max. drei Monate)</w:t>
      </w:r>
      <w:r w:rsidR="000B2E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EA6D8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8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>2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Junior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B70745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  <w:bookmarkStart w:id="5" w:name="_GoBack"/>
            <w:bookmarkEnd w:id="5"/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5" w:rsidRDefault="00B70745" w:rsidP="00B70745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:rsidR="00C41A6E" w:rsidRPr="007B1D14" w:rsidRDefault="00B70745" w:rsidP="00B70745">
    <w:pPr>
      <w:pStyle w:val="Fuzeile"/>
      <w:tabs>
        <w:tab w:val="right" w:pos="9638"/>
      </w:tabs>
      <w:rPr>
        <w:sz w:val="18"/>
      </w:rPr>
    </w:pP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="00C41A6E" w:rsidRPr="007B1D14">
      <w:rPr>
        <w:sz w:val="18"/>
      </w:rPr>
      <w:fldChar w:fldCharType="begin"/>
    </w:r>
    <w:r w:rsidR="00C41A6E" w:rsidRPr="007B1D14">
      <w:rPr>
        <w:sz w:val="18"/>
      </w:rPr>
      <w:instrText>PAGE   \* MERGEFORMAT</w:instrText>
    </w:r>
    <w:r w:rsidR="00C41A6E" w:rsidRPr="007B1D14">
      <w:rPr>
        <w:sz w:val="18"/>
      </w:rPr>
      <w:fldChar w:fldCharType="separate"/>
    </w:r>
    <w:r w:rsidRPr="00B70745">
      <w:rPr>
        <w:noProof/>
        <w:sz w:val="18"/>
        <w:lang w:val="de-DE"/>
      </w:rPr>
      <w:t>1</w:t>
    </w:r>
    <w:r w:rsidR="00C41A6E" w:rsidRPr="007B1D14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8728A3">
      <w:trPr>
        <w:trHeight w:val="1209"/>
      </w:trPr>
      <w:tc>
        <w:tcPr>
          <w:tcW w:w="10188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p w:rsidR="00F868D4" w:rsidRPr="003D155A" w:rsidRDefault="008728A3" w:rsidP="00F868D4">
                <w:pPr>
                  <w:pStyle w:val="berschrift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  <w:r w:rsidRPr="008728A3">
                  <w:rPr>
                    <w:noProof/>
                    <w:sz w:val="8"/>
                    <w:szCs w:val="8"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3E69274E" wp14:editId="6315B300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34925</wp:posOffset>
                      </wp:positionV>
                      <wp:extent cx="2171700" cy="704215"/>
                      <wp:effectExtent l="0" t="0" r="0" b="0"/>
                      <wp:wrapNone/>
                      <wp:docPr id="4" name="Grafi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5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704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65212">
                  <w:rPr>
                    <w:noProof/>
                    <w:lang w:val="de-DE" w:eastAsia="de-DE"/>
                  </w:rPr>
                  <w:drawing>
                    <wp:inline distT="0" distB="0" distL="0" distR="0" wp14:anchorId="22008F46" wp14:editId="0A854687">
                      <wp:extent cx="5905500" cy="6762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berschrift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6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8728A3" w:rsidP="00F868D4">
    <w:pPr>
      <w:pStyle w:val="Kopfzeile"/>
      <w:rPr>
        <w:sz w:val="8"/>
        <w:szCs w:val="8"/>
        <w:lang w:val="de-DE"/>
      </w:rPr>
    </w:pPr>
    <w:r w:rsidRPr="008728A3">
      <w:rPr>
        <w:noProof/>
        <w:sz w:val="8"/>
        <w:szCs w:val="8"/>
        <w:lang w:val="de-DE" w:eastAsia="de-DE"/>
      </w:rPr>
      <w:drawing>
        <wp:anchor distT="0" distB="0" distL="114300" distR="114300" simplePos="0" relativeHeight="251660288" behindDoc="0" locked="0" layoutInCell="1" allowOverlap="1" wp14:anchorId="383B0761" wp14:editId="4B96D799">
          <wp:simplePos x="0" y="0"/>
          <wp:positionH relativeFrom="column">
            <wp:posOffset>1952625</wp:posOffset>
          </wp:positionH>
          <wp:positionV relativeFrom="paragraph">
            <wp:posOffset>-861695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2EF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0745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B38AECA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2107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40</cp:revision>
  <cp:lastPrinted>2016-08-15T14:16:00Z</cp:lastPrinted>
  <dcterms:created xsi:type="dcterms:W3CDTF">2016-08-15T09:10:00Z</dcterms:created>
  <dcterms:modified xsi:type="dcterms:W3CDTF">2022-02-14T13:57:00Z</dcterms:modified>
</cp:coreProperties>
</file>